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31F1" w:rsidRPr="006D0883" w:rsidRDefault="003D31F1" w:rsidP="003D31F1">
      <w:pPr>
        <w:spacing w:line="480" w:lineRule="auto"/>
        <w:jc w:val="center"/>
        <w:rPr>
          <w:rFonts w:ascii="Times New Roman" w:hAnsi="Times New Roman" w:cs="Times New Roman"/>
          <w:sz w:val="24"/>
          <w:szCs w:val="24"/>
        </w:rPr>
      </w:pPr>
    </w:p>
    <w:p w:rsidR="003D31F1" w:rsidRPr="006D0883" w:rsidRDefault="003D31F1" w:rsidP="003D31F1">
      <w:pPr>
        <w:spacing w:line="480" w:lineRule="auto"/>
        <w:jc w:val="center"/>
        <w:rPr>
          <w:rFonts w:ascii="Times New Roman" w:hAnsi="Times New Roman" w:cs="Times New Roman"/>
          <w:sz w:val="24"/>
          <w:szCs w:val="24"/>
        </w:rPr>
      </w:pPr>
    </w:p>
    <w:p w:rsidR="003D31F1" w:rsidRPr="006D0883" w:rsidRDefault="003D31F1" w:rsidP="003D31F1">
      <w:pPr>
        <w:spacing w:line="480" w:lineRule="auto"/>
        <w:jc w:val="center"/>
        <w:rPr>
          <w:rFonts w:ascii="Times New Roman" w:hAnsi="Times New Roman" w:cs="Times New Roman"/>
          <w:sz w:val="24"/>
          <w:szCs w:val="24"/>
        </w:rPr>
      </w:pPr>
    </w:p>
    <w:p w:rsidR="003D31F1" w:rsidRPr="006D0883" w:rsidRDefault="003D31F1" w:rsidP="003D31F1">
      <w:pPr>
        <w:spacing w:line="480" w:lineRule="auto"/>
        <w:jc w:val="center"/>
        <w:rPr>
          <w:rFonts w:ascii="Times New Roman" w:hAnsi="Times New Roman" w:cs="Times New Roman"/>
          <w:sz w:val="24"/>
          <w:szCs w:val="24"/>
        </w:rPr>
      </w:pPr>
    </w:p>
    <w:p w:rsidR="003D31F1" w:rsidRPr="006D0883" w:rsidRDefault="003D31F1" w:rsidP="003D31F1">
      <w:pPr>
        <w:spacing w:line="480" w:lineRule="auto"/>
        <w:jc w:val="center"/>
        <w:rPr>
          <w:rFonts w:ascii="Times New Roman" w:hAnsi="Times New Roman" w:cs="Times New Roman"/>
          <w:sz w:val="24"/>
          <w:szCs w:val="24"/>
        </w:rPr>
      </w:pPr>
    </w:p>
    <w:p w:rsidR="003D31F1" w:rsidRPr="006D0883" w:rsidRDefault="003D31F1" w:rsidP="003D31F1">
      <w:pPr>
        <w:spacing w:line="480" w:lineRule="auto"/>
        <w:jc w:val="center"/>
        <w:rPr>
          <w:rFonts w:ascii="Times New Roman" w:hAnsi="Times New Roman" w:cs="Times New Roman"/>
          <w:sz w:val="24"/>
          <w:szCs w:val="24"/>
        </w:rPr>
      </w:pPr>
    </w:p>
    <w:p w:rsidR="003D31F1" w:rsidRPr="006D0883" w:rsidRDefault="003D31F1" w:rsidP="003D31F1">
      <w:pPr>
        <w:spacing w:line="480" w:lineRule="auto"/>
        <w:jc w:val="center"/>
        <w:rPr>
          <w:rFonts w:ascii="Times New Roman" w:hAnsi="Times New Roman" w:cs="Times New Roman"/>
          <w:sz w:val="24"/>
          <w:szCs w:val="24"/>
        </w:rPr>
      </w:pPr>
    </w:p>
    <w:p w:rsidR="003D31F1" w:rsidRPr="006D0883" w:rsidRDefault="003D31F1" w:rsidP="003D31F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ROA and ROE</w:t>
      </w:r>
    </w:p>
    <w:p w:rsidR="003D31F1" w:rsidRPr="006D0883" w:rsidRDefault="003D31F1" w:rsidP="003D31F1">
      <w:pPr>
        <w:spacing w:after="0" w:line="480" w:lineRule="auto"/>
        <w:contextualSpacing/>
        <w:jc w:val="center"/>
        <w:rPr>
          <w:rFonts w:ascii="Times New Roman" w:hAnsi="Times New Roman" w:cs="Times New Roman"/>
          <w:sz w:val="24"/>
          <w:szCs w:val="24"/>
        </w:rPr>
      </w:pPr>
      <w:r w:rsidRPr="006D0883">
        <w:rPr>
          <w:rFonts w:ascii="Times New Roman" w:hAnsi="Times New Roman" w:cs="Times New Roman"/>
          <w:sz w:val="24"/>
          <w:szCs w:val="24"/>
        </w:rPr>
        <w:t>Name</w:t>
      </w:r>
    </w:p>
    <w:p w:rsidR="003D31F1" w:rsidRPr="006D0883" w:rsidRDefault="003D31F1" w:rsidP="003D31F1">
      <w:pPr>
        <w:spacing w:after="0" w:line="480" w:lineRule="auto"/>
        <w:contextualSpacing/>
        <w:jc w:val="center"/>
        <w:rPr>
          <w:rFonts w:ascii="Times New Roman" w:hAnsi="Times New Roman" w:cs="Times New Roman"/>
          <w:sz w:val="24"/>
          <w:szCs w:val="24"/>
        </w:rPr>
      </w:pPr>
      <w:r w:rsidRPr="006D0883">
        <w:rPr>
          <w:rFonts w:ascii="Times New Roman" w:hAnsi="Times New Roman" w:cs="Times New Roman"/>
          <w:sz w:val="24"/>
          <w:szCs w:val="24"/>
        </w:rPr>
        <w:t>Institution</w:t>
      </w:r>
    </w:p>
    <w:p w:rsidR="003D31F1" w:rsidRPr="006D0883" w:rsidRDefault="003D31F1" w:rsidP="003D31F1">
      <w:pPr>
        <w:spacing w:after="0" w:line="480" w:lineRule="auto"/>
        <w:contextualSpacing/>
        <w:rPr>
          <w:rFonts w:ascii="Times New Roman" w:hAnsi="Times New Roman" w:cs="Times New Roman"/>
          <w:sz w:val="24"/>
          <w:szCs w:val="24"/>
        </w:rPr>
      </w:pPr>
      <w:r w:rsidRPr="006D0883">
        <w:rPr>
          <w:rFonts w:ascii="Times New Roman" w:hAnsi="Times New Roman" w:cs="Times New Roman"/>
          <w:sz w:val="24"/>
          <w:szCs w:val="24"/>
        </w:rPr>
        <w:br w:type="page"/>
      </w:r>
    </w:p>
    <w:p w:rsidR="003D31F1" w:rsidRDefault="003D31F1" w:rsidP="003D31F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ROA and ROE</w:t>
      </w:r>
    </w:p>
    <w:p w:rsidR="003D31F1" w:rsidRPr="006D0883" w:rsidRDefault="003D31F1" w:rsidP="003D31F1">
      <w:pPr>
        <w:spacing w:after="0" w:line="480" w:lineRule="auto"/>
        <w:ind w:firstLine="720"/>
        <w:contextualSpacing/>
        <w:rPr>
          <w:rFonts w:ascii="Times New Roman" w:hAnsi="Times New Roman" w:cs="Times New Roman"/>
          <w:sz w:val="24"/>
          <w:szCs w:val="24"/>
        </w:rPr>
      </w:pPr>
      <w:r w:rsidRPr="006D0883">
        <w:rPr>
          <w:rFonts w:ascii="Times New Roman" w:hAnsi="Times New Roman" w:cs="Times New Roman"/>
          <w:sz w:val="24"/>
          <w:szCs w:val="24"/>
        </w:rPr>
        <w:t>Profitability ratios are defines as financial metrics that are used to measure a business’s ability to generate income in relation to the expenditure</w:t>
      </w:r>
      <w:r w:rsidRPr="006D0883">
        <w:rPr>
          <w:rFonts w:ascii="Times New Roman" w:hAnsi="Times New Roman" w:cs="Times New Roman"/>
          <w:sz w:val="24"/>
          <w:szCs w:val="24"/>
          <w:shd w:val="clear" w:color="auto" w:fill="FFFFFF"/>
        </w:rPr>
        <w:t xml:space="preserve"> (</w:t>
      </w:r>
      <w:r w:rsidRPr="00FA30DF">
        <w:rPr>
          <w:rFonts w:ascii="Times New Roman" w:hAnsi="Times New Roman" w:cs="Times New Roman"/>
          <w:sz w:val="24"/>
          <w:szCs w:val="24"/>
          <w:shd w:val="clear" w:color="auto" w:fill="FFFFFF"/>
        </w:rPr>
        <w:t>Bailey, 2017). </w:t>
      </w:r>
      <w:r w:rsidRPr="006D0883">
        <w:rPr>
          <w:rFonts w:ascii="Times New Roman" w:hAnsi="Times New Roman" w:cs="Times New Roman"/>
          <w:sz w:val="24"/>
          <w:szCs w:val="24"/>
        </w:rPr>
        <w:t xml:space="preserve">These ratios are considered accurate and reliable by most financial analysts. Having a higher ratio value compared to the competitors indicates that the company is on a financially viable path. There are two types of financial ratios the Return on Assets (ROA) and the Return on Equity (ROE). </w:t>
      </w:r>
    </w:p>
    <w:p w:rsidR="003D31F1" w:rsidRPr="006D0883" w:rsidRDefault="003D31F1" w:rsidP="003D31F1">
      <w:pPr>
        <w:spacing w:after="0" w:line="480" w:lineRule="auto"/>
        <w:ind w:firstLine="720"/>
        <w:contextualSpacing/>
        <w:rPr>
          <w:rFonts w:ascii="Times New Roman" w:hAnsi="Times New Roman" w:cs="Times New Roman"/>
          <w:sz w:val="24"/>
          <w:szCs w:val="24"/>
        </w:rPr>
      </w:pPr>
      <w:r w:rsidRPr="006D0883">
        <w:rPr>
          <w:rFonts w:ascii="Times New Roman" w:hAnsi="Times New Roman" w:cs="Times New Roman"/>
          <w:sz w:val="24"/>
          <w:szCs w:val="24"/>
        </w:rPr>
        <w:t>The return on assets approach assesses how the company is using its assets to generate income. The income mentioned above is the total amount in sales after all the expenses have been deducted. This ratio is based on the concept that the more a company invests in the asset base, the higher the chances of high productivity leading to higher profitability levels. ROA varies across industries depending on the company’s operating leverage</w:t>
      </w:r>
      <w:r w:rsidRPr="006D0883">
        <w:rPr>
          <w:rFonts w:ascii="Times New Roman" w:hAnsi="Times New Roman" w:cs="Times New Roman"/>
          <w:sz w:val="24"/>
          <w:szCs w:val="24"/>
          <w:shd w:val="clear" w:color="auto" w:fill="FFFFFF"/>
        </w:rPr>
        <w:t xml:space="preserve"> (Nissim &amp; Penman, 2001)</w:t>
      </w:r>
      <w:r w:rsidRPr="006D0883">
        <w:rPr>
          <w:rFonts w:ascii="Times New Roman" w:hAnsi="Times New Roman" w:cs="Times New Roman"/>
          <w:sz w:val="24"/>
          <w:szCs w:val="24"/>
        </w:rPr>
        <w:t>. The ROA ratio is mostly represented as a percentage of the total income over the total assets for a given period in the financial year. The ratio can be calculated quarterly, semi-annually or annually depending on the company’s finance structure. ROA uses the total assets in the calculations rather than the more reliable one of the value of the assets. The total assets value is inclusive of cash holding from creditors, receivables and other assets acquired on debt and equity. Investors use the ratio in determining the level of a company’s profitability and the ability of the company to turn its assets into income generators in the industry.</w:t>
      </w:r>
    </w:p>
    <w:p w:rsidR="003D31F1" w:rsidRPr="006D0883" w:rsidRDefault="003D31F1" w:rsidP="003D31F1">
      <w:pPr>
        <w:spacing w:after="0" w:line="480" w:lineRule="auto"/>
        <w:ind w:firstLine="720"/>
        <w:contextualSpacing/>
        <w:rPr>
          <w:rFonts w:ascii="Times New Roman" w:hAnsi="Times New Roman" w:cs="Times New Roman"/>
          <w:sz w:val="24"/>
          <w:szCs w:val="24"/>
        </w:rPr>
      </w:pPr>
      <w:r w:rsidRPr="006D0883">
        <w:rPr>
          <w:rFonts w:ascii="Times New Roman" w:hAnsi="Times New Roman" w:cs="Times New Roman"/>
          <w:sz w:val="24"/>
          <w:szCs w:val="24"/>
        </w:rPr>
        <w:t>On the other hand, the Return on Equity (ROE) ratio is a measure of how effectively a company’s management is using assets to create income</w:t>
      </w:r>
      <w:r w:rsidRPr="00FA30DF">
        <w:rPr>
          <w:rFonts w:ascii="Times New Roman" w:hAnsi="Times New Roman" w:cs="Times New Roman"/>
          <w:sz w:val="24"/>
          <w:szCs w:val="24"/>
        </w:rPr>
        <w:t xml:space="preserve"> </w:t>
      </w:r>
      <w:r w:rsidRPr="00FA30DF">
        <w:rPr>
          <w:rFonts w:ascii="Times New Roman" w:hAnsi="Times New Roman" w:cs="Times New Roman"/>
          <w:sz w:val="24"/>
          <w:szCs w:val="24"/>
          <w:shd w:val="clear" w:color="auto" w:fill="FFFFFF"/>
        </w:rPr>
        <w:t>(Bailey, 2017</w:t>
      </w:r>
      <w:r>
        <w:rPr>
          <w:rFonts w:ascii="Times New Roman" w:hAnsi="Times New Roman" w:cs="Times New Roman"/>
          <w:sz w:val="24"/>
          <w:szCs w:val="24"/>
          <w:shd w:val="clear" w:color="auto" w:fill="FFFFFF"/>
        </w:rPr>
        <w:t>)</w:t>
      </w:r>
      <w:r w:rsidRPr="00FA30DF">
        <w:rPr>
          <w:rFonts w:ascii="Times New Roman" w:hAnsi="Times New Roman" w:cs="Times New Roman"/>
          <w:sz w:val="24"/>
          <w:szCs w:val="24"/>
        </w:rPr>
        <w:t>.</w:t>
      </w:r>
      <w:r w:rsidRPr="006D0883">
        <w:rPr>
          <w:rFonts w:ascii="Times New Roman" w:hAnsi="Times New Roman" w:cs="Times New Roman"/>
          <w:sz w:val="24"/>
          <w:szCs w:val="24"/>
        </w:rPr>
        <w:t xml:space="preserve"> Unlike the R0A, a good or bad ROE will depend on what is normal in the industry. For an instant, if the companies in the industry have an average ROE of 10%, the company ensured stability when they have a higher or equal percentage</w:t>
      </w:r>
      <w:r>
        <w:rPr>
          <w:rFonts w:ascii="Times New Roman" w:hAnsi="Times New Roman" w:cs="Times New Roman"/>
          <w:sz w:val="24"/>
          <w:szCs w:val="24"/>
        </w:rPr>
        <w:t xml:space="preserve"> </w:t>
      </w:r>
      <w:r w:rsidRPr="006D0883">
        <w:rPr>
          <w:rFonts w:ascii="Times New Roman" w:hAnsi="Times New Roman" w:cs="Times New Roman"/>
          <w:sz w:val="24"/>
          <w:szCs w:val="24"/>
          <w:shd w:val="clear" w:color="auto" w:fill="FFFFFF"/>
        </w:rPr>
        <w:t>(Nissim &amp; Penman, 2001)</w:t>
      </w:r>
      <w:r w:rsidRPr="006D0883">
        <w:rPr>
          <w:rFonts w:ascii="Times New Roman" w:hAnsi="Times New Roman" w:cs="Times New Roman"/>
          <w:sz w:val="24"/>
          <w:szCs w:val="24"/>
        </w:rPr>
        <w:t>. Return on Equity is calculated as a percentage of Net income over the Average Shareholder’s equity where Average shareholder’s equity is attained by adding equity at the beginning of the period and equity at the end then dividing it by two.  The shareholder’s equity is the company’s total assets minus the debts. This ratio can only be calculated by companies whose Net Income and Equity are positive numbers. When multiplied by a company’s retention ratio, ROE gives an accurate estimate of the company’s future growth rate.</w:t>
      </w:r>
    </w:p>
    <w:p w:rsidR="003D31F1" w:rsidRPr="006D0883" w:rsidRDefault="003D31F1" w:rsidP="003D31F1">
      <w:pPr>
        <w:spacing w:after="0" w:line="480" w:lineRule="auto"/>
        <w:ind w:firstLine="720"/>
        <w:contextualSpacing/>
        <w:rPr>
          <w:rFonts w:ascii="Times New Roman" w:hAnsi="Times New Roman" w:cs="Times New Roman"/>
          <w:sz w:val="24"/>
          <w:szCs w:val="24"/>
        </w:rPr>
      </w:pPr>
      <w:r w:rsidRPr="006D0883">
        <w:rPr>
          <w:rFonts w:ascii="Times New Roman" w:hAnsi="Times New Roman" w:cs="Times New Roman"/>
          <w:sz w:val="24"/>
          <w:szCs w:val="24"/>
        </w:rPr>
        <w:t>Financial leverage is the extent to which a company uses its fixed-asset securities as equity. It deals with the profit magnification aspect of a company, and it is directly proportional to debt financing used by the company. Financial leverage is the use of debt capital to finance asset acquisition with an expectation that the income generated from the assets will exceed the cost of the debt</w:t>
      </w:r>
      <w:r w:rsidRPr="006D0883">
        <w:rPr>
          <w:rFonts w:ascii="Times New Roman" w:hAnsi="Times New Roman" w:cs="Times New Roman"/>
          <w:sz w:val="24"/>
          <w:szCs w:val="24"/>
          <w:shd w:val="clear" w:color="auto" w:fill="FFFFFF"/>
        </w:rPr>
        <w:t xml:space="preserve"> (Ahmad &amp; Shamsi, 2015).</w:t>
      </w:r>
      <w:r w:rsidRPr="006D0883">
        <w:rPr>
          <w:rFonts w:ascii="Times New Roman" w:hAnsi="Times New Roman" w:cs="Times New Roman"/>
          <w:sz w:val="24"/>
          <w:szCs w:val="24"/>
        </w:rPr>
        <w:t xml:space="preserve"> The debtors have measures in place to ensure they are paid back their dues within the payback period. Most debtors use the company’s statement of cash flows, or the assets purchased as collateral until the debt is cleared. Financial leverage is measured using the Debt-to-equity-ratio. The debt to equity ratio is a percentage of the total debts of the total equity. Financial leverage enables business continuity by use of debt capital; it may also lead to increased earnings in the company. However, it is not void or risks. The level of leverage is profoundly affected by market fluctuations such as the decline in asset value and high-interest rates </w:t>
      </w:r>
      <w:r w:rsidRPr="006D0883">
        <w:rPr>
          <w:rFonts w:ascii="Times New Roman" w:hAnsi="Times New Roman" w:cs="Times New Roman"/>
          <w:sz w:val="24"/>
          <w:szCs w:val="24"/>
          <w:shd w:val="clear" w:color="auto" w:fill="FFFFFF"/>
        </w:rPr>
        <w:t>(Ahmad &amp; Shamsi, 2015)</w:t>
      </w:r>
      <w:r w:rsidRPr="006D0883">
        <w:rPr>
          <w:rFonts w:ascii="Times New Roman" w:hAnsi="Times New Roman" w:cs="Times New Roman"/>
          <w:sz w:val="24"/>
          <w:szCs w:val="24"/>
        </w:rPr>
        <w:t>. This phenomenon may result in excessive losses for the company. Increased amounts of financial leverage results to high variations in profits and deceptive stock prices that imply the company will pay more interests to the shareholders. Financial leverage should be controlled to meet specific company needs and add value to business operations.</w:t>
      </w:r>
    </w:p>
    <w:p w:rsidR="003D31F1" w:rsidRDefault="003D31F1">
      <w:pPr>
        <w:spacing w:line="480" w:lineRule="auto"/>
        <w:ind w:firstLine="720"/>
        <w:rPr>
          <w:rFonts w:ascii="Times New Roman" w:hAnsi="Times New Roman" w:cs="Times New Roman"/>
          <w:sz w:val="24"/>
          <w:szCs w:val="24"/>
        </w:rPr>
      </w:pPr>
      <w:r>
        <w:rPr>
          <w:rFonts w:ascii="Times New Roman" w:hAnsi="Times New Roman" w:cs="Times New Roman"/>
          <w:sz w:val="24"/>
          <w:szCs w:val="24"/>
        </w:rPr>
        <w:br w:type="page"/>
      </w:r>
    </w:p>
    <w:p w:rsidR="003D31F1" w:rsidRPr="006D0883" w:rsidRDefault="003D31F1" w:rsidP="003D31F1">
      <w:pPr>
        <w:spacing w:line="480" w:lineRule="auto"/>
        <w:jc w:val="center"/>
        <w:rPr>
          <w:rFonts w:ascii="Times New Roman" w:hAnsi="Times New Roman" w:cs="Times New Roman"/>
          <w:sz w:val="24"/>
          <w:szCs w:val="24"/>
        </w:rPr>
      </w:pPr>
      <w:bookmarkStart w:id="0" w:name="_GoBack"/>
      <w:bookmarkEnd w:id="0"/>
      <w:r w:rsidRPr="006D0883">
        <w:rPr>
          <w:rFonts w:ascii="Times New Roman" w:hAnsi="Times New Roman" w:cs="Times New Roman"/>
          <w:sz w:val="24"/>
          <w:szCs w:val="24"/>
        </w:rPr>
        <w:t>References</w:t>
      </w:r>
    </w:p>
    <w:p w:rsidR="003D31F1" w:rsidRPr="00130EBA" w:rsidRDefault="003D31F1" w:rsidP="003D31F1">
      <w:pPr>
        <w:tabs>
          <w:tab w:val="left" w:pos="444"/>
        </w:tabs>
        <w:spacing w:after="0" w:line="480" w:lineRule="auto"/>
        <w:ind w:left="442" w:hanging="442"/>
        <w:contextualSpacing/>
        <w:rPr>
          <w:rFonts w:ascii="Times New Roman" w:hAnsi="Times New Roman"/>
          <w:sz w:val="24"/>
          <w:shd w:val="clear" w:color="auto" w:fill="FFFFFF"/>
        </w:rPr>
      </w:pPr>
      <w:r w:rsidRPr="006D0883">
        <w:rPr>
          <w:rFonts w:ascii="Times New Roman" w:hAnsi="Times New Roman" w:cs="Times New Roman"/>
          <w:sz w:val="24"/>
          <w:szCs w:val="24"/>
          <w:shd w:val="clear" w:color="auto" w:fill="FFFFFF"/>
        </w:rPr>
        <w:t>Ahmad, N., Salman, A., &amp; Shamsi, A. (2015). Impact of financial leverage on firms’ profitability: An investigation from cement sector of Pakistan. </w:t>
      </w:r>
      <w:r w:rsidRPr="006D0883">
        <w:rPr>
          <w:rFonts w:ascii="Times New Roman" w:hAnsi="Times New Roman" w:cs="Times New Roman"/>
          <w:i/>
          <w:iCs/>
          <w:sz w:val="24"/>
          <w:szCs w:val="24"/>
          <w:shd w:val="clear" w:color="auto" w:fill="FFFFFF"/>
        </w:rPr>
        <w:t>Research Journal of Finance and Accounting</w:t>
      </w:r>
      <w:r w:rsidRPr="006D0883">
        <w:rPr>
          <w:rFonts w:ascii="Times New Roman" w:hAnsi="Times New Roman" w:cs="Times New Roman"/>
          <w:sz w:val="24"/>
          <w:szCs w:val="24"/>
          <w:shd w:val="clear" w:color="auto" w:fill="FFFFFF"/>
        </w:rPr>
        <w:t>, </w:t>
      </w:r>
      <w:r w:rsidRPr="006D0883">
        <w:rPr>
          <w:rFonts w:ascii="Times New Roman" w:hAnsi="Times New Roman" w:cs="Times New Roman"/>
          <w:i/>
          <w:iCs/>
          <w:sz w:val="24"/>
          <w:szCs w:val="24"/>
          <w:shd w:val="clear" w:color="auto" w:fill="FFFFFF"/>
        </w:rPr>
        <w:t>6</w:t>
      </w:r>
      <w:r w:rsidRPr="006D0883">
        <w:rPr>
          <w:rFonts w:ascii="Times New Roman" w:hAnsi="Times New Roman" w:cs="Times New Roman"/>
          <w:sz w:val="24"/>
          <w:szCs w:val="24"/>
          <w:shd w:val="clear" w:color="auto" w:fill="FFFFFF"/>
        </w:rPr>
        <w:t>(7), 2222-1697.</w:t>
      </w:r>
    </w:p>
    <w:p w:rsidR="003D31F1" w:rsidRPr="00FA30DF" w:rsidRDefault="003D31F1" w:rsidP="003D31F1">
      <w:pPr>
        <w:tabs>
          <w:tab w:val="left" w:pos="444"/>
        </w:tabs>
        <w:spacing w:line="480" w:lineRule="auto"/>
        <w:rPr>
          <w:rFonts w:ascii="Times New Roman" w:hAnsi="Times New Roman" w:cs="Times New Roman"/>
          <w:sz w:val="24"/>
          <w:szCs w:val="24"/>
        </w:rPr>
      </w:pPr>
      <w:r w:rsidRPr="00FA30DF">
        <w:rPr>
          <w:rFonts w:ascii="Times New Roman" w:hAnsi="Times New Roman" w:cs="Times New Roman"/>
          <w:sz w:val="24"/>
          <w:szCs w:val="24"/>
          <w:shd w:val="clear" w:color="auto" w:fill="FFFFFF"/>
        </w:rPr>
        <w:t>Bailey, S. J. (2017). </w:t>
      </w:r>
      <w:r w:rsidRPr="00FA30DF">
        <w:rPr>
          <w:rFonts w:ascii="Times New Roman" w:hAnsi="Times New Roman" w:cs="Times New Roman"/>
          <w:i/>
          <w:iCs/>
          <w:sz w:val="24"/>
          <w:szCs w:val="24"/>
          <w:shd w:val="clear" w:color="auto" w:fill="FFFFFF"/>
        </w:rPr>
        <w:t>Strategic public finance</w:t>
      </w:r>
      <w:r w:rsidRPr="00FA30DF">
        <w:rPr>
          <w:rFonts w:ascii="Times New Roman" w:hAnsi="Times New Roman" w:cs="Times New Roman"/>
          <w:sz w:val="24"/>
          <w:szCs w:val="24"/>
          <w:shd w:val="clear" w:color="auto" w:fill="FFFFFF"/>
        </w:rPr>
        <w:t>. Macmillan International Higher Education.</w:t>
      </w:r>
    </w:p>
    <w:p w:rsidR="003D31F1" w:rsidRPr="006D0883" w:rsidRDefault="003D31F1" w:rsidP="003D31F1">
      <w:pPr>
        <w:spacing w:after="0" w:line="480" w:lineRule="auto"/>
        <w:ind w:left="442" w:hanging="442"/>
        <w:contextualSpacing/>
        <w:rPr>
          <w:rFonts w:ascii="Times New Roman" w:hAnsi="Times New Roman" w:cs="Times New Roman"/>
          <w:sz w:val="24"/>
          <w:szCs w:val="24"/>
        </w:rPr>
      </w:pPr>
      <w:r w:rsidRPr="006D0883">
        <w:rPr>
          <w:rFonts w:ascii="Times New Roman" w:hAnsi="Times New Roman" w:cs="Times New Roman"/>
          <w:sz w:val="24"/>
          <w:szCs w:val="24"/>
          <w:shd w:val="clear" w:color="auto" w:fill="FFFFFF"/>
        </w:rPr>
        <w:t>Nissim, D., &amp; Penman, S. H. (2001). Ratio analysis and equity valuation: From research to practice. </w:t>
      </w:r>
      <w:r w:rsidRPr="006D0883">
        <w:rPr>
          <w:rFonts w:ascii="Times New Roman" w:hAnsi="Times New Roman" w:cs="Times New Roman"/>
          <w:i/>
          <w:iCs/>
          <w:sz w:val="24"/>
          <w:szCs w:val="24"/>
          <w:shd w:val="clear" w:color="auto" w:fill="FFFFFF"/>
        </w:rPr>
        <w:t>Review of accounting studies</w:t>
      </w:r>
      <w:r w:rsidRPr="006D0883">
        <w:rPr>
          <w:rFonts w:ascii="Times New Roman" w:hAnsi="Times New Roman" w:cs="Times New Roman"/>
          <w:sz w:val="24"/>
          <w:szCs w:val="24"/>
          <w:shd w:val="clear" w:color="auto" w:fill="FFFFFF"/>
        </w:rPr>
        <w:t>, </w:t>
      </w:r>
      <w:r w:rsidRPr="006D0883">
        <w:rPr>
          <w:rFonts w:ascii="Times New Roman" w:hAnsi="Times New Roman" w:cs="Times New Roman"/>
          <w:i/>
          <w:iCs/>
          <w:sz w:val="24"/>
          <w:szCs w:val="24"/>
          <w:shd w:val="clear" w:color="auto" w:fill="FFFFFF"/>
        </w:rPr>
        <w:t>6</w:t>
      </w:r>
      <w:r w:rsidRPr="006D0883">
        <w:rPr>
          <w:rFonts w:ascii="Times New Roman" w:hAnsi="Times New Roman" w:cs="Times New Roman"/>
          <w:sz w:val="24"/>
          <w:szCs w:val="24"/>
          <w:shd w:val="clear" w:color="auto" w:fill="FFFFFF"/>
        </w:rPr>
        <w:t>(1), 109-154.</w:t>
      </w:r>
    </w:p>
    <w:p w:rsidR="003D31F1" w:rsidRPr="006D0883" w:rsidRDefault="003D31F1" w:rsidP="003D31F1">
      <w:pPr>
        <w:spacing w:after="0" w:line="480" w:lineRule="auto"/>
        <w:ind w:left="442" w:hanging="442"/>
        <w:contextualSpacing/>
        <w:rPr>
          <w:rFonts w:ascii="Times New Roman" w:hAnsi="Times New Roman" w:cs="Times New Roman"/>
          <w:sz w:val="24"/>
          <w:szCs w:val="24"/>
        </w:rPr>
      </w:pPr>
      <w:r w:rsidRPr="006D0883">
        <w:rPr>
          <w:rFonts w:ascii="Times New Roman" w:hAnsi="Times New Roman" w:cs="Times New Roman"/>
          <w:sz w:val="24"/>
          <w:szCs w:val="24"/>
          <w:shd w:val="clear" w:color="auto" w:fill="FFFFFF"/>
        </w:rPr>
        <w:t>Osteryoung, J., Constand, R. L., &amp; Nast, D. (1992).  Financial ratios in large public and small private firms. </w:t>
      </w:r>
      <w:r w:rsidRPr="006D0883">
        <w:rPr>
          <w:rFonts w:ascii="Times New Roman" w:hAnsi="Times New Roman" w:cs="Times New Roman"/>
          <w:i/>
          <w:iCs/>
          <w:sz w:val="24"/>
          <w:szCs w:val="24"/>
          <w:shd w:val="clear" w:color="auto" w:fill="FFFFFF"/>
        </w:rPr>
        <w:t>Journal of Small Business Management</w:t>
      </w:r>
      <w:r w:rsidRPr="006D0883">
        <w:rPr>
          <w:rFonts w:ascii="Times New Roman" w:hAnsi="Times New Roman" w:cs="Times New Roman"/>
          <w:sz w:val="24"/>
          <w:szCs w:val="24"/>
          <w:shd w:val="clear" w:color="auto" w:fill="FFFFFF"/>
        </w:rPr>
        <w:t>, </w:t>
      </w:r>
      <w:r w:rsidRPr="006D0883">
        <w:rPr>
          <w:rFonts w:ascii="Times New Roman" w:hAnsi="Times New Roman" w:cs="Times New Roman"/>
          <w:i/>
          <w:iCs/>
          <w:sz w:val="24"/>
          <w:szCs w:val="24"/>
          <w:shd w:val="clear" w:color="auto" w:fill="FFFFFF"/>
        </w:rPr>
        <w:t>30</w:t>
      </w:r>
      <w:r w:rsidRPr="006D0883">
        <w:rPr>
          <w:rFonts w:ascii="Times New Roman" w:hAnsi="Times New Roman" w:cs="Times New Roman"/>
          <w:sz w:val="24"/>
          <w:szCs w:val="24"/>
          <w:shd w:val="clear" w:color="auto" w:fill="FFFFFF"/>
        </w:rPr>
        <w:t>(3), 35.</w:t>
      </w:r>
    </w:p>
    <w:p w:rsidR="003D31F1" w:rsidRPr="006D0883" w:rsidRDefault="003D31F1" w:rsidP="003D31F1">
      <w:pPr>
        <w:spacing w:line="480" w:lineRule="auto"/>
        <w:rPr>
          <w:rFonts w:ascii="Times New Roman" w:hAnsi="Times New Roman" w:cs="Times New Roman"/>
          <w:sz w:val="24"/>
          <w:szCs w:val="24"/>
        </w:rPr>
      </w:pPr>
    </w:p>
    <w:p w:rsidR="006F41E9" w:rsidRDefault="006F41E9"/>
    <w:sectPr w:rsidR="006F41E9" w:rsidSect="002C54E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037B" w:rsidRDefault="00F1037B" w:rsidP="003D31F1">
      <w:pPr>
        <w:spacing w:after="0" w:line="240" w:lineRule="auto"/>
      </w:pPr>
      <w:r>
        <w:separator/>
      </w:r>
    </w:p>
  </w:endnote>
  <w:endnote w:type="continuationSeparator" w:id="0">
    <w:p w:rsidR="00F1037B" w:rsidRDefault="00F1037B" w:rsidP="003D31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037B" w:rsidRDefault="00F1037B" w:rsidP="003D31F1">
      <w:pPr>
        <w:spacing w:after="0" w:line="240" w:lineRule="auto"/>
      </w:pPr>
      <w:r>
        <w:separator/>
      </w:r>
    </w:p>
  </w:footnote>
  <w:footnote w:type="continuationSeparator" w:id="0">
    <w:p w:rsidR="00F1037B" w:rsidRDefault="00F1037B" w:rsidP="003D31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03C6" w:rsidRPr="003D31F1" w:rsidRDefault="00F1037B" w:rsidP="003D31F1">
    <w:pPr>
      <w:pStyle w:val="Header"/>
      <w:tabs>
        <w:tab w:val="clear" w:pos="4680"/>
      </w:tabs>
      <w:rPr>
        <w:rFonts w:ascii="Times New Roman" w:hAnsi="Times New Roman" w:cs="Times New Roman"/>
        <w:sz w:val="24"/>
      </w:rPr>
    </w:pPr>
    <w:r>
      <w:rPr>
        <w:rFonts w:ascii="Times New Roman" w:hAnsi="Times New Roman" w:cs="Times New Roman"/>
        <w:sz w:val="24"/>
      </w:rPr>
      <w:t>ROA AND ROE</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  \* Arabic  \* MERGEFORMAT </w:instrText>
    </w:r>
    <w:r>
      <w:rPr>
        <w:rFonts w:ascii="Times New Roman" w:hAnsi="Times New Roman" w:cs="Times New Roman"/>
        <w:sz w:val="24"/>
      </w:rPr>
      <w:fldChar w:fldCharType="separate"/>
    </w:r>
    <w:r w:rsidR="003D31F1">
      <w:rPr>
        <w:rFonts w:ascii="Times New Roman" w:hAnsi="Times New Roman" w:cs="Times New Roman"/>
        <w:noProof/>
        <w:sz w:val="24"/>
      </w:rPr>
      <w:t>2</w:t>
    </w:r>
    <w:r>
      <w:rPr>
        <w:rFonts w:ascii="Times New Roman" w:hAnsi="Times New Roman" w:cs="Times New Roman"/>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03C6" w:rsidRPr="003D31F1" w:rsidRDefault="00F1037B" w:rsidP="003D31F1">
    <w:pPr>
      <w:pStyle w:val="Header"/>
      <w:tabs>
        <w:tab w:val="clear" w:pos="4680"/>
      </w:tabs>
      <w:rPr>
        <w:rFonts w:ascii="Times New Roman" w:hAnsi="Times New Roman" w:cs="Times New Roman"/>
        <w:sz w:val="24"/>
      </w:rPr>
    </w:pPr>
    <w:r>
      <w:rPr>
        <w:rFonts w:ascii="Times New Roman" w:hAnsi="Times New Roman" w:cs="Times New Roman"/>
        <w:sz w:val="24"/>
      </w:rPr>
      <w:t>Running head: ROA AND ROE</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  \* Arabic  \* MERGEFORMAT </w:instrText>
    </w:r>
    <w:r>
      <w:rPr>
        <w:rFonts w:ascii="Times New Roman" w:hAnsi="Times New Roman" w:cs="Times New Roman"/>
        <w:sz w:val="24"/>
      </w:rPr>
      <w:fldChar w:fldCharType="separate"/>
    </w:r>
    <w:r>
      <w:rPr>
        <w:rFonts w:ascii="Times New Roman" w:hAnsi="Times New Roman" w:cs="Times New Roman"/>
        <w:noProof/>
        <w:sz w:val="24"/>
      </w:rPr>
      <w:t>1</w:t>
    </w:r>
    <w:r>
      <w:rPr>
        <w:rFonts w:ascii="Times New Roman" w:hAnsi="Times New Roman" w:cs="Times New Roman"/>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W2MLawMDAxtTAytbRU0lEKTi0uzszPAykwrAUA39ig1ywAAAA="/>
  </w:docVars>
  <w:rsids>
    <w:rsidRoot w:val="003D31F1"/>
    <w:rsid w:val="003D31F1"/>
    <w:rsid w:val="006D7C5A"/>
    <w:rsid w:val="006F41E9"/>
    <w:rsid w:val="00CD2EF3"/>
    <w:rsid w:val="00F103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31F1"/>
    <w:pPr>
      <w:spacing w:line="276" w:lineRule="auto"/>
      <w:ind w:firstLine="0"/>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31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31F1"/>
    <w:rPr>
      <w:rFonts w:asciiTheme="minorHAnsi" w:hAnsiTheme="minorHAnsi"/>
      <w:sz w:val="22"/>
    </w:rPr>
  </w:style>
  <w:style w:type="paragraph" w:styleId="Footer">
    <w:name w:val="footer"/>
    <w:basedOn w:val="Normal"/>
    <w:link w:val="FooterChar"/>
    <w:uiPriority w:val="99"/>
    <w:unhideWhenUsed/>
    <w:rsid w:val="003D31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31F1"/>
    <w:rPr>
      <w:rFonts w:asciiTheme="minorHAnsi" w:hAnsiTheme="minorHAns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31F1"/>
    <w:pPr>
      <w:spacing w:line="276" w:lineRule="auto"/>
      <w:ind w:firstLine="0"/>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31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31F1"/>
    <w:rPr>
      <w:rFonts w:asciiTheme="minorHAnsi" w:hAnsiTheme="minorHAnsi"/>
      <w:sz w:val="22"/>
    </w:rPr>
  </w:style>
  <w:style w:type="paragraph" w:styleId="Footer">
    <w:name w:val="footer"/>
    <w:basedOn w:val="Normal"/>
    <w:link w:val="FooterChar"/>
    <w:uiPriority w:val="99"/>
    <w:unhideWhenUsed/>
    <w:rsid w:val="003D31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31F1"/>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690</Words>
  <Characters>3935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dc:creator>
  <cp:lastModifiedBy>Simon</cp:lastModifiedBy>
  <cp:revision>1</cp:revision>
  <dcterms:created xsi:type="dcterms:W3CDTF">2019-02-23T08:24:00Z</dcterms:created>
  <dcterms:modified xsi:type="dcterms:W3CDTF">2019-02-23T08:26:00Z</dcterms:modified>
</cp:coreProperties>
</file>